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2022" w14:textId="77777777" w:rsidR="00B367F8" w:rsidRDefault="00B367F8">
      <w:pPr>
        <w:widowControl w:val="0"/>
        <w:pBdr>
          <w:top w:val="nil"/>
          <w:left w:val="nil"/>
          <w:bottom w:val="nil"/>
          <w:right w:val="nil"/>
          <w:between w:val="nil"/>
        </w:pBdr>
        <w:spacing w:line="276" w:lineRule="auto"/>
        <w:rPr>
          <w:rFonts w:ascii="Arial" w:eastAsia="Arial" w:hAnsi="Arial" w:cs="Arial"/>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3240"/>
        <w:gridCol w:w="4225"/>
      </w:tblGrid>
      <w:tr w:rsidR="00B367F8" w14:paraId="1C5912CD" w14:textId="77777777">
        <w:tc>
          <w:tcPr>
            <w:tcW w:w="1885" w:type="dxa"/>
          </w:tcPr>
          <w:p w14:paraId="64F4A419" w14:textId="77777777" w:rsidR="00B367F8" w:rsidRDefault="00A62E79">
            <w:pPr>
              <w:rPr>
                <w:b/>
                <w:sz w:val="24"/>
                <w:szCs w:val="24"/>
              </w:rPr>
            </w:pPr>
            <w:r>
              <w:rPr>
                <w:b/>
                <w:sz w:val="24"/>
                <w:szCs w:val="24"/>
              </w:rPr>
              <w:t>Board Member</w:t>
            </w:r>
          </w:p>
        </w:tc>
        <w:tc>
          <w:tcPr>
            <w:tcW w:w="3240" w:type="dxa"/>
          </w:tcPr>
          <w:p w14:paraId="184834B7" w14:textId="77777777" w:rsidR="00B367F8" w:rsidRDefault="00A62E79">
            <w:pPr>
              <w:rPr>
                <w:b/>
                <w:sz w:val="24"/>
                <w:szCs w:val="24"/>
              </w:rPr>
            </w:pPr>
            <w:r>
              <w:rPr>
                <w:b/>
                <w:sz w:val="24"/>
                <w:szCs w:val="24"/>
              </w:rPr>
              <w:t>Consolidated Question</w:t>
            </w:r>
          </w:p>
        </w:tc>
        <w:tc>
          <w:tcPr>
            <w:tcW w:w="4225" w:type="dxa"/>
          </w:tcPr>
          <w:p w14:paraId="251B1DF5" w14:textId="77777777" w:rsidR="00B367F8" w:rsidRDefault="00A62E79">
            <w:pPr>
              <w:rPr>
                <w:b/>
                <w:sz w:val="24"/>
                <w:szCs w:val="24"/>
              </w:rPr>
            </w:pPr>
            <w:r>
              <w:rPr>
                <w:b/>
                <w:sz w:val="24"/>
                <w:szCs w:val="24"/>
              </w:rPr>
              <w:t>Answer</w:t>
            </w:r>
          </w:p>
        </w:tc>
      </w:tr>
      <w:tr w:rsidR="00B367F8" w14:paraId="16693B5C" w14:textId="77777777">
        <w:tc>
          <w:tcPr>
            <w:tcW w:w="1885" w:type="dxa"/>
          </w:tcPr>
          <w:p w14:paraId="2033114D" w14:textId="77777777" w:rsidR="00B367F8" w:rsidRDefault="00A62E79">
            <w:pPr>
              <w:rPr>
                <w:sz w:val="24"/>
                <w:szCs w:val="24"/>
              </w:rPr>
            </w:pPr>
            <w:r>
              <w:rPr>
                <w:sz w:val="24"/>
                <w:szCs w:val="24"/>
              </w:rPr>
              <w:t>Dave</w:t>
            </w:r>
          </w:p>
        </w:tc>
        <w:tc>
          <w:tcPr>
            <w:tcW w:w="3240" w:type="dxa"/>
          </w:tcPr>
          <w:p w14:paraId="622B6DBE" w14:textId="77777777" w:rsidR="00B367F8" w:rsidRDefault="00A62E79">
            <w:pPr>
              <w:rPr>
                <w:sz w:val="24"/>
                <w:szCs w:val="24"/>
              </w:rPr>
            </w:pPr>
            <w:r>
              <w:rPr>
                <w:sz w:val="24"/>
                <w:szCs w:val="24"/>
              </w:rPr>
              <w:t>Why did you remove the language related to camping and personal property?</w:t>
            </w:r>
          </w:p>
        </w:tc>
        <w:tc>
          <w:tcPr>
            <w:tcW w:w="4225" w:type="dxa"/>
          </w:tcPr>
          <w:p w14:paraId="371E09C2" w14:textId="77777777" w:rsidR="00B367F8" w:rsidRDefault="00A62E79">
            <w:pPr>
              <w:rPr>
                <w:sz w:val="24"/>
                <w:szCs w:val="24"/>
              </w:rPr>
            </w:pPr>
            <w:r>
              <w:rPr>
                <w:sz w:val="24"/>
                <w:szCs w:val="24"/>
              </w:rPr>
              <w:t xml:space="preserve">There are many facets to camping and storing personal property.  We wanted additional time to explore all Barron Co and Cedar Lake Township regulations.  We are working on it and will update Policy 25 when we feel we have the language outlined to the best </w:t>
            </w:r>
            <w:r>
              <w:rPr>
                <w:sz w:val="24"/>
                <w:szCs w:val="24"/>
              </w:rPr>
              <w:t xml:space="preserve">of our ability. </w:t>
            </w:r>
          </w:p>
        </w:tc>
      </w:tr>
      <w:tr w:rsidR="00B367F8" w14:paraId="21DDE446" w14:textId="77777777">
        <w:tc>
          <w:tcPr>
            <w:tcW w:w="1885" w:type="dxa"/>
          </w:tcPr>
          <w:p w14:paraId="5E16F0C4" w14:textId="77777777" w:rsidR="00B367F8" w:rsidRDefault="00A62E79">
            <w:pPr>
              <w:rPr>
                <w:sz w:val="24"/>
                <w:szCs w:val="24"/>
              </w:rPr>
            </w:pPr>
            <w:r>
              <w:rPr>
                <w:sz w:val="24"/>
                <w:szCs w:val="24"/>
              </w:rPr>
              <w:t>Shawn</w:t>
            </w:r>
          </w:p>
        </w:tc>
        <w:tc>
          <w:tcPr>
            <w:tcW w:w="3240" w:type="dxa"/>
          </w:tcPr>
          <w:p w14:paraId="311F7FD2" w14:textId="77777777" w:rsidR="00B367F8" w:rsidRDefault="00A62E79">
            <w:pPr>
              <w:rPr>
                <w:sz w:val="24"/>
                <w:szCs w:val="24"/>
              </w:rPr>
            </w:pPr>
            <w:r>
              <w:rPr>
                <w:sz w:val="24"/>
                <w:szCs w:val="24"/>
              </w:rPr>
              <w:t>Virtual Option for Board Meetings?</w:t>
            </w:r>
          </w:p>
        </w:tc>
        <w:tc>
          <w:tcPr>
            <w:tcW w:w="4225" w:type="dxa"/>
          </w:tcPr>
          <w:p w14:paraId="2077755B" w14:textId="77777777" w:rsidR="00B367F8" w:rsidRDefault="00A62E79">
            <w:pPr>
              <w:rPr>
                <w:sz w:val="24"/>
                <w:szCs w:val="24"/>
              </w:rPr>
            </w:pPr>
            <w:r>
              <w:rPr>
                <w:sz w:val="24"/>
                <w:szCs w:val="24"/>
              </w:rPr>
              <w:t>There will not be a virtual option for the meeting. LLBC has tried this in the past and it does not work with the technology the club has available.</w:t>
            </w:r>
          </w:p>
        </w:tc>
      </w:tr>
      <w:tr w:rsidR="00B367F8" w14:paraId="7C98696C" w14:textId="77777777">
        <w:tc>
          <w:tcPr>
            <w:tcW w:w="1885" w:type="dxa"/>
          </w:tcPr>
          <w:p w14:paraId="588B1E74" w14:textId="77777777" w:rsidR="00B367F8" w:rsidRDefault="00A62E79">
            <w:pPr>
              <w:rPr>
                <w:sz w:val="24"/>
                <w:szCs w:val="24"/>
              </w:rPr>
            </w:pPr>
            <w:r>
              <w:rPr>
                <w:sz w:val="24"/>
                <w:szCs w:val="24"/>
              </w:rPr>
              <w:t>Jim</w:t>
            </w:r>
          </w:p>
        </w:tc>
        <w:tc>
          <w:tcPr>
            <w:tcW w:w="3240" w:type="dxa"/>
          </w:tcPr>
          <w:p w14:paraId="6C1C3DDA" w14:textId="77777777" w:rsidR="00B367F8" w:rsidRDefault="00A62E79">
            <w:pPr>
              <w:rPr>
                <w:sz w:val="24"/>
                <w:szCs w:val="24"/>
              </w:rPr>
            </w:pPr>
            <w:r>
              <w:rPr>
                <w:sz w:val="24"/>
                <w:szCs w:val="24"/>
              </w:rPr>
              <w:t xml:space="preserve">Why has the inspection clause been removed </w:t>
            </w:r>
            <w:r>
              <w:rPr>
                <w:sz w:val="24"/>
                <w:szCs w:val="24"/>
              </w:rPr>
              <w:t>from the policy?</w:t>
            </w:r>
          </w:p>
        </w:tc>
        <w:tc>
          <w:tcPr>
            <w:tcW w:w="4225" w:type="dxa"/>
          </w:tcPr>
          <w:p w14:paraId="127DBBC0" w14:textId="77777777" w:rsidR="00B367F8" w:rsidRDefault="00A62E79">
            <w:pPr>
              <w:rPr>
                <w:sz w:val="24"/>
                <w:szCs w:val="24"/>
              </w:rPr>
            </w:pPr>
            <w:r>
              <w:rPr>
                <w:color w:val="222222"/>
                <w:sz w:val="24"/>
                <w:szCs w:val="24"/>
                <w:highlight w:val="white"/>
              </w:rPr>
              <w:t>There will still be inspections. It is not necessary to include inspections in the policy, because the C+R clearly allows for inspections by authorized representatives of LLBC.</w:t>
            </w:r>
          </w:p>
        </w:tc>
      </w:tr>
      <w:tr w:rsidR="00B367F8" w14:paraId="058DE5AF" w14:textId="77777777">
        <w:tc>
          <w:tcPr>
            <w:tcW w:w="1885" w:type="dxa"/>
          </w:tcPr>
          <w:p w14:paraId="7E1148AB" w14:textId="77777777" w:rsidR="00B367F8" w:rsidRDefault="00A62E79">
            <w:pPr>
              <w:rPr>
                <w:sz w:val="24"/>
                <w:szCs w:val="24"/>
              </w:rPr>
            </w:pPr>
            <w:r>
              <w:rPr>
                <w:sz w:val="24"/>
                <w:szCs w:val="24"/>
              </w:rPr>
              <w:t>Sherri</w:t>
            </w:r>
          </w:p>
        </w:tc>
        <w:tc>
          <w:tcPr>
            <w:tcW w:w="3240" w:type="dxa"/>
          </w:tcPr>
          <w:p w14:paraId="781DD2CF" w14:textId="77777777" w:rsidR="00B367F8" w:rsidRDefault="00A62E79">
            <w:pPr>
              <w:rPr>
                <w:sz w:val="24"/>
                <w:szCs w:val="24"/>
              </w:rPr>
            </w:pPr>
            <w:r>
              <w:rPr>
                <w:sz w:val="24"/>
                <w:szCs w:val="24"/>
              </w:rPr>
              <w:t>Will LLBC monitor home starts to ensure the plan is being followed?  Ho</w:t>
            </w:r>
            <w:r>
              <w:rPr>
                <w:sz w:val="24"/>
                <w:szCs w:val="24"/>
              </w:rPr>
              <w:t>w do you plan to make sure the plan is happening so not everyone waits until the end to build?</w:t>
            </w:r>
          </w:p>
        </w:tc>
        <w:tc>
          <w:tcPr>
            <w:tcW w:w="4225" w:type="dxa"/>
          </w:tcPr>
          <w:p w14:paraId="2B2D57CC" w14:textId="77777777" w:rsidR="00B367F8" w:rsidRDefault="00A62E79">
            <w:pPr>
              <w:rPr>
                <w:sz w:val="24"/>
                <w:szCs w:val="24"/>
              </w:rPr>
            </w:pPr>
            <w:r>
              <w:rPr>
                <w:sz w:val="24"/>
                <w:szCs w:val="24"/>
              </w:rPr>
              <w:t xml:space="preserve">The permit requires the owner to confirm they understand their intention to build a home within the </w:t>
            </w:r>
            <w:proofErr w:type="gramStart"/>
            <w:r>
              <w:rPr>
                <w:sz w:val="24"/>
                <w:szCs w:val="24"/>
              </w:rPr>
              <w:t>time period</w:t>
            </w:r>
            <w:proofErr w:type="gramEnd"/>
            <w:r>
              <w:rPr>
                <w:sz w:val="24"/>
                <w:szCs w:val="24"/>
              </w:rPr>
              <w:t xml:space="preserve"> of the permit.  Some people will sell.  Some peop</w:t>
            </w:r>
            <w:r>
              <w:rPr>
                <w:sz w:val="24"/>
                <w:szCs w:val="24"/>
              </w:rPr>
              <w:t xml:space="preserve">le will move.  We </w:t>
            </w:r>
            <w:proofErr w:type="gramStart"/>
            <w:r>
              <w:rPr>
                <w:sz w:val="24"/>
                <w:szCs w:val="24"/>
              </w:rPr>
              <w:t>have to</w:t>
            </w:r>
            <w:proofErr w:type="gramEnd"/>
            <w:r>
              <w:rPr>
                <w:sz w:val="24"/>
                <w:szCs w:val="24"/>
              </w:rPr>
              <w:t xml:space="preserve"> trust that development will continue as it has in the past.</w:t>
            </w:r>
          </w:p>
        </w:tc>
      </w:tr>
      <w:tr w:rsidR="00B367F8" w14:paraId="6EFE383F" w14:textId="77777777">
        <w:tc>
          <w:tcPr>
            <w:tcW w:w="1885" w:type="dxa"/>
          </w:tcPr>
          <w:p w14:paraId="2FB1235F" w14:textId="77777777" w:rsidR="00B367F8" w:rsidRDefault="00A62E79">
            <w:pPr>
              <w:rPr>
                <w:sz w:val="24"/>
                <w:szCs w:val="24"/>
              </w:rPr>
            </w:pPr>
            <w:r>
              <w:rPr>
                <w:sz w:val="24"/>
                <w:szCs w:val="24"/>
              </w:rPr>
              <w:t>Shawn</w:t>
            </w:r>
          </w:p>
        </w:tc>
        <w:tc>
          <w:tcPr>
            <w:tcW w:w="3240" w:type="dxa"/>
          </w:tcPr>
          <w:p w14:paraId="39A6C137" w14:textId="77777777" w:rsidR="00B367F8" w:rsidRDefault="00A62E79">
            <w:pPr>
              <w:rPr>
                <w:sz w:val="24"/>
                <w:szCs w:val="24"/>
              </w:rPr>
            </w:pPr>
            <w:r>
              <w:rPr>
                <w:sz w:val="24"/>
                <w:szCs w:val="24"/>
              </w:rPr>
              <w:t xml:space="preserve">Is there a possibility that the next board will create a different plan?  </w:t>
            </w:r>
          </w:p>
        </w:tc>
        <w:tc>
          <w:tcPr>
            <w:tcW w:w="4225" w:type="dxa"/>
          </w:tcPr>
          <w:p w14:paraId="4D4F1C51" w14:textId="77777777" w:rsidR="00B367F8" w:rsidRDefault="00A62E79">
            <w:pPr>
              <w:rPr>
                <w:sz w:val="24"/>
                <w:szCs w:val="24"/>
              </w:rPr>
            </w:pPr>
            <w:r>
              <w:rPr>
                <w:sz w:val="24"/>
                <w:szCs w:val="24"/>
              </w:rPr>
              <w:t>The board cannot create policies that cannot be changed or modified by future boards. Th</w:t>
            </w:r>
            <w:r>
              <w:rPr>
                <w:sz w:val="24"/>
                <w:szCs w:val="24"/>
              </w:rPr>
              <w:t xml:space="preserve">e </w:t>
            </w:r>
            <w:proofErr w:type="gramStart"/>
            <w:r>
              <w:rPr>
                <w:sz w:val="24"/>
                <w:szCs w:val="24"/>
              </w:rPr>
              <w:t>15 or 5 year</w:t>
            </w:r>
            <w:proofErr w:type="gramEnd"/>
            <w:r>
              <w:rPr>
                <w:sz w:val="24"/>
                <w:szCs w:val="24"/>
              </w:rPr>
              <w:t xml:space="preserve"> permits are a </w:t>
            </w:r>
            <w:proofErr w:type="spellStart"/>
            <w:r>
              <w:rPr>
                <w:sz w:val="24"/>
                <w:szCs w:val="24"/>
              </w:rPr>
              <w:t>one time</w:t>
            </w:r>
            <w:proofErr w:type="spellEnd"/>
            <w:r>
              <w:rPr>
                <w:sz w:val="24"/>
                <w:szCs w:val="24"/>
              </w:rPr>
              <w:t xml:space="preserve"> permit with a specific expiration date so if a future board changed the policy, a member should be able to argue that fact. </w:t>
            </w:r>
          </w:p>
        </w:tc>
      </w:tr>
      <w:tr w:rsidR="00B367F8" w14:paraId="2BAAFEA7" w14:textId="77777777">
        <w:tc>
          <w:tcPr>
            <w:tcW w:w="1885" w:type="dxa"/>
          </w:tcPr>
          <w:p w14:paraId="29C0CD83" w14:textId="77777777" w:rsidR="00B367F8" w:rsidRDefault="00A62E79">
            <w:pPr>
              <w:rPr>
                <w:sz w:val="24"/>
                <w:szCs w:val="24"/>
              </w:rPr>
            </w:pPr>
            <w:r>
              <w:rPr>
                <w:sz w:val="24"/>
                <w:szCs w:val="24"/>
              </w:rPr>
              <w:t>Ted</w:t>
            </w:r>
          </w:p>
        </w:tc>
        <w:tc>
          <w:tcPr>
            <w:tcW w:w="3240" w:type="dxa"/>
          </w:tcPr>
          <w:p w14:paraId="6498E18C" w14:textId="77777777" w:rsidR="00B367F8" w:rsidRDefault="00A62E79">
            <w:pPr>
              <w:rPr>
                <w:sz w:val="24"/>
                <w:szCs w:val="24"/>
              </w:rPr>
            </w:pPr>
            <w:r>
              <w:rPr>
                <w:sz w:val="24"/>
                <w:szCs w:val="24"/>
              </w:rPr>
              <w:t>Is building a home REQUIRED if we get a permit?</w:t>
            </w:r>
          </w:p>
          <w:p w14:paraId="58119239" w14:textId="77777777" w:rsidR="00B367F8" w:rsidRDefault="00B367F8">
            <w:pPr>
              <w:rPr>
                <w:sz w:val="24"/>
                <w:szCs w:val="24"/>
              </w:rPr>
            </w:pPr>
          </w:p>
        </w:tc>
        <w:tc>
          <w:tcPr>
            <w:tcW w:w="4225" w:type="dxa"/>
          </w:tcPr>
          <w:p w14:paraId="352370CB" w14:textId="77777777" w:rsidR="00B367F8" w:rsidRDefault="00A62E79">
            <w:pPr>
              <w:rPr>
                <w:sz w:val="24"/>
                <w:szCs w:val="24"/>
              </w:rPr>
            </w:pPr>
            <w:r>
              <w:rPr>
                <w:sz w:val="24"/>
                <w:szCs w:val="24"/>
              </w:rPr>
              <w:t>A permanent home would have to be const</w:t>
            </w:r>
            <w:r>
              <w:rPr>
                <w:sz w:val="24"/>
                <w:szCs w:val="24"/>
              </w:rPr>
              <w:t xml:space="preserve">ructed in order to utilize a property for habitation past the </w:t>
            </w:r>
            <w:proofErr w:type="gramStart"/>
            <w:r>
              <w:rPr>
                <w:sz w:val="24"/>
                <w:szCs w:val="24"/>
              </w:rPr>
              <w:t>5 or 15 year</w:t>
            </w:r>
            <w:proofErr w:type="gramEnd"/>
            <w:r>
              <w:rPr>
                <w:sz w:val="24"/>
                <w:szCs w:val="24"/>
              </w:rPr>
              <w:t xml:space="preserve"> timeframe.</w:t>
            </w:r>
          </w:p>
        </w:tc>
      </w:tr>
      <w:tr w:rsidR="00B367F8" w14:paraId="3F7BF3CF" w14:textId="77777777">
        <w:tc>
          <w:tcPr>
            <w:tcW w:w="1885" w:type="dxa"/>
          </w:tcPr>
          <w:p w14:paraId="59F81D84" w14:textId="77777777" w:rsidR="00B367F8" w:rsidRDefault="00A62E79">
            <w:pPr>
              <w:rPr>
                <w:sz w:val="24"/>
                <w:szCs w:val="24"/>
              </w:rPr>
            </w:pPr>
            <w:r>
              <w:rPr>
                <w:sz w:val="24"/>
                <w:szCs w:val="24"/>
              </w:rPr>
              <w:t>Ted</w:t>
            </w:r>
          </w:p>
        </w:tc>
        <w:tc>
          <w:tcPr>
            <w:tcW w:w="3240" w:type="dxa"/>
          </w:tcPr>
          <w:p w14:paraId="1E912A6B" w14:textId="77777777" w:rsidR="00B367F8" w:rsidRDefault="00A62E79">
            <w:pPr>
              <w:rPr>
                <w:sz w:val="24"/>
                <w:szCs w:val="24"/>
              </w:rPr>
            </w:pPr>
            <w:r>
              <w:rPr>
                <w:sz w:val="24"/>
                <w:szCs w:val="24"/>
              </w:rPr>
              <w:t>We own two lots.  Are we required to build on both?</w:t>
            </w:r>
          </w:p>
        </w:tc>
        <w:tc>
          <w:tcPr>
            <w:tcW w:w="4225" w:type="dxa"/>
          </w:tcPr>
          <w:p w14:paraId="42152011" w14:textId="77777777" w:rsidR="00B367F8" w:rsidRDefault="00A62E79">
            <w:pPr>
              <w:rPr>
                <w:sz w:val="24"/>
                <w:szCs w:val="24"/>
              </w:rPr>
            </w:pPr>
            <w:r>
              <w:rPr>
                <w:sz w:val="24"/>
                <w:szCs w:val="24"/>
              </w:rPr>
              <w:t>No.</w:t>
            </w:r>
          </w:p>
        </w:tc>
      </w:tr>
      <w:tr w:rsidR="00B367F8" w14:paraId="32D4654C" w14:textId="77777777">
        <w:tc>
          <w:tcPr>
            <w:tcW w:w="1885" w:type="dxa"/>
          </w:tcPr>
          <w:p w14:paraId="1145188E" w14:textId="77777777" w:rsidR="00B367F8" w:rsidRDefault="00A62E79">
            <w:pPr>
              <w:rPr>
                <w:sz w:val="24"/>
                <w:szCs w:val="24"/>
              </w:rPr>
            </w:pPr>
            <w:r>
              <w:rPr>
                <w:sz w:val="24"/>
                <w:szCs w:val="24"/>
              </w:rPr>
              <w:t>John</w:t>
            </w:r>
          </w:p>
        </w:tc>
        <w:tc>
          <w:tcPr>
            <w:tcW w:w="3240" w:type="dxa"/>
          </w:tcPr>
          <w:p w14:paraId="22CBB696" w14:textId="77777777" w:rsidR="00B367F8" w:rsidRDefault="00A62E79">
            <w:pPr>
              <w:rPr>
                <w:sz w:val="24"/>
                <w:szCs w:val="24"/>
              </w:rPr>
            </w:pPr>
            <w:r>
              <w:rPr>
                <w:sz w:val="24"/>
                <w:szCs w:val="24"/>
              </w:rPr>
              <w:t>Does purchasing an undeveloped lot obligate the buyer to build a home?</w:t>
            </w:r>
          </w:p>
        </w:tc>
        <w:tc>
          <w:tcPr>
            <w:tcW w:w="4225" w:type="dxa"/>
          </w:tcPr>
          <w:p w14:paraId="7C285867" w14:textId="77777777" w:rsidR="00B367F8" w:rsidRDefault="00A62E79">
            <w:pPr>
              <w:rPr>
                <w:sz w:val="24"/>
                <w:szCs w:val="24"/>
              </w:rPr>
            </w:pPr>
            <w:r>
              <w:rPr>
                <w:sz w:val="24"/>
                <w:szCs w:val="24"/>
              </w:rPr>
              <w:t>No but they could not occupy a temporary dwelling unless building a permanent home.</w:t>
            </w:r>
          </w:p>
        </w:tc>
      </w:tr>
      <w:tr w:rsidR="00B367F8" w14:paraId="7353CC11" w14:textId="77777777">
        <w:tc>
          <w:tcPr>
            <w:tcW w:w="1885" w:type="dxa"/>
          </w:tcPr>
          <w:p w14:paraId="193EF472" w14:textId="77777777" w:rsidR="00B367F8" w:rsidRDefault="00A62E79">
            <w:pPr>
              <w:rPr>
                <w:sz w:val="24"/>
                <w:szCs w:val="24"/>
              </w:rPr>
            </w:pPr>
            <w:r>
              <w:rPr>
                <w:sz w:val="24"/>
                <w:szCs w:val="24"/>
              </w:rPr>
              <w:lastRenderedPageBreak/>
              <w:t>Jim</w:t>
            </w:r>
          </w:p>
        </w:tc>
        <w:tc>
          <w:tcPr>
            <w:tcW w:w="3240" w:type="dxa"/>
          </w:tcPr>
          <w:p w14:paraId="1F34791B" w14:textId="77777777" w:rsidR="00B367F8" w:rsidRDefault="00A62E79">
            <w:pPr>
              <w:rPr>
                <w:sz w:val="24"/>
                <w:szCs w:val="24"/>
              </w:rPr>
            </w:pPr>
            <w:r>
              <w:rPr>
                <w:sz w:val="24"/>
                <w:szCs w:val="24"/>
              </w:rPr>
              <w:t>Is Loch Lomond strictly a housing development?</w:t>
            </w:r>
          </w:p>
        </w:tc>
        <w:tc>
          <w:tcPr>
            <w:tcW w:w="4225" w:type="dxa"/>
          </w:tcPr>
          <w:p w14:paraId="3B16C36C" w14:textId="77777777" w:rsidR="00B367F8" w:rsidRDefault="00A62E79">
            <w:pPr>
              <w:rPr>
                <w:sz w:val="24"/>
                <w:szCs w:val="24"/>
              </w:rPr>
            </w:pPr>
            <w:r>
              <w:rPr>
                <w:sz w:val="24"/>
                <w:szCs w:val="24"/>
              </w:rPr>
              <w:t>That is essentially the determination made by the judge in the ruling.</w:t>
            </w:r>
          </w:p>
        </w:tc>
      </w:tr>
      <w:tr w:rsidR="00B367F8" w14:paraId="5F5E8D73" w14:textId="77777777">
        <w:tc>
          <w:tcPr>
            <w:tcW w:w="1885" w:type="dxa"/>
          </w:tcPr>
          <w:p w14:paraId="70C88D1A" w14:textId="77777777" w:rsidR="00B367F8" w:rsidRDefault="00A62E79">
            <w:pPr>
              <w:rPr>
                <w:sz w:val="24"/>
                <w:szCs w:val="24"/>
              </w:rPr>
            </w:pPr>
            <w:r>
              <w:rPr>
                <w:sz w:val="24"/>
                <w:szCs w:val="24"/>
              </w:rPr>
              <w:t>Dave</w:t>
            </w:r>
          </w:p>
        </w:tc>
        <w:tc>
          <w:tcPr>
            <w:tcW w:w="3240" w:type="dxa"/>
          </w:tcPr>
          <w:p w14:paraId="58DA120F" w14:textId="77777777" w:rsidR="00B367F8" w:rsidRDefault="00A62E79">
            <w:pPr>
              <w:rPr>
                <w:sz w:val="24"/>
                <w:szCs w:val="24"/>
              </w:rPr>
            </w:pPr>
            <w:r>
              <w:rPr>
                <w:sz w:val="24"/>
                <w:szCs w:val="24"/>
              </w:rPr>
              <w:t>Has anyone considered the difficulties in h</w:t>
            </w:r>
            <w:r>
              <w:rPr>
                <w:sz w:val="24"/>
                <w:szCs w:val="24"/>
              </w:rPr>
              <w:t xml:space="preserve">iring </w:t>
            </w:r>
            <w:proofErr w:type="gramStart"/>
            <w:r>
              <w:rPr>
                <w:sz w:val="24"/>
                <w:szCs w:val="24"/>
              </w:rPr>
              <w:t>a sufficient number of</w:t>
            </w:r>
            <w:proofErr w:type="gramEnd"/>
            <w:r>
              <w:rPr>
                <w:sz w:val="24"/>
                <w:szCs w:val="24"/>
              </w:rPr>
              <w:t xml:space="preserve"> contractors and obtaining materials for all these new homes?</w:t>
            </w:r>
          </w:p>
        </w:tc>
        <w:tc>
          <w:tcPr>
            <w:tcW w:w="4225" w:type="dxa"/>
          </w:tcPr>
          <w:p w14:paraId="40F3ADC7" w14:textId="77777777" w:rsidR="00B367F8" w:rsidRDefault="00A62E79">
            <w:pPr>
              <w:rPr>
                <w:sz w:val="24"/>
                <w:szCs w:val="24"/>
              </w:rPr>
            </w:pPr>
            <w:r>
              <w:rPr>
                <w:sz w:val="24"/>
                <w:szCs w:val="24"/>
              </w:rPr>
              <w:t xml:space="preserve">Yes, that’s why the board felt a </w:t>
            </w:r>
            <w:proofErr w:type="gramStart"/>
            <w:r>
              <w:rPr>
                <w:sz w:val="24"/>
                <w:szCs w:val="24"/>
              </w:rPr>
              <w:t>15 year</w:t>
            </w:r>
            <w:proofErr w:type="gramEnd"/>
            <w:r>
              <w:rPr>
                <w:sz w:val="24"/>
                <w:szCs w:val="24"/>
              </w:rPr>
              <w:t xml:space="preserve"> time frame for existing owners to be reasonable.</w:t>
            </w:r>
          </w:p>
        </w:tc>
      </w:tr>
      <w:tr w:rsidR="00B367F8" w14:paraId="490D0F6A" w14:textId="77777777">
        <w:tc>
          <w:tcPr>
            <w:tcW w:w="1885" w:type="dxa"/>
          </w:tcPr>
          <w:p w14:paraId="49654CAB" w14:textId="77777777" w:rsidR="00B367F8" w:rsidRDefault="00A62E79">
            <w:pPr>
              <w:rPr>
                <w:sz w:val="24"/>
                <w:szCs w:val="24"/>
              </w:rPr>
            </w:pPr>
            <w:r>
              <w:rPr>
                <w:sz w:val="24"/>
                <w:szCs w:val="24"/>
              </w:rPr>
              <w:t>Shawn</w:t>
            </w:r>
          </w:p>
        </w:tc>
        <w:tc>
          <w:tcPr>
            <w:tcW w:w="3240" w:type="dxa"/>
          </w:tcPr>
          <w:p w14:paraId="4E3B186F" w14:textId="77777777" w:rsidR="00B367F8" w:rsidRDefault="00A62E79">
            <w:pPr>
              <w:rPr>
                <w:sz w:val="24"/>
                <w:szCs w:val="24"/>
              </w:rPr>
            </w:pPr>
            <w:r>
              <w:rPr>
                <w:sz w:val="24"/>
                <w:szCs w:val="24"/>
              </w:rPr>
              <w:t>What remedies do property owners have regarding financial hits because of this lawsuit?</w:t>
            </w:r>
          </w:p>
        </w:tc>
        <w:tc>
          <w:tcPr>
            <w:tcW w:w="4225" w:type="dxa"/>
          </w:tcPr>
          <w:p w14:paraId="4C252BC5" w14:textId="77777777" w:rsidR="00B367F8" w:rsidRDefault="00A62E79">
            <w:pPr>
              <w:rPr>
                <w:sz w:val="24"/>
                <w:szCs w:val="24"/>
              </w:rPr>
            </w:pPr>
            <w:r>
              <w:rPr>
                <w:sz w:val="24"/>
                <w:szCs w:val="24"/>
              </w:rPr>
              <w:t>None to our knowledge.</w:t>
            </w:r>
          </w:p>
        </w:tc>
      </w:tr>
      <w:tr w:rsidR="00B367F8" w14:paraId="1FEAD25E" w14:textId="77777777">
        <w:tc>
          <w:tcPr>
            <w:tcW w:w="1885" w:type="dxa"/>
          </w:tcPr>
          <w:p w14:paraId="15153019" w14:textId="77777777" w:rsidR="00B367F8" w:rsidRDefault="00A62E79">
            <w:pPr>
              <w:rPr>
                <w:sz w:val="24"/>
                <w:szCs w:val="24"/>
              </w:rPr>
            </w:pPr>
            <w:r>
              <w:rPr>
                <w:sz w:val="24"/>
                <w:szCs w:val="24"/>
              </w:rPr>
              <w:t>John</w:t>
            </w:r>
          </w:p>
        </w:tc>
        <w:tc>
          <w:tcPr>
            <w:tcW w:w="3240" w:type="dxa"/>
          </w:tcPr>
          <w:p w14:paraId="68E2F9B5" w14:textId="77777777" w:rsidR="00B367F8" w:rsidRDefault="00A62E79">
            <w:pPr>
              <w:rPr>
                <w:sz w:val="24"/>
                <w:szCs w:val="24"/>
              </w:rPr>
            </w:pPr>
            <w:r>
              <w:rPr>
                <w:sz w:val="24"/>
                <w:szCs w:val="24"/>
              </w:rPr>
              <w:t>Why pass policy 25 knowing it may bring additional litigation?</w:t>
            </w:r>
          </w:p>
        </w:tc>
        <w:tc>
          <w:tcPr>
            <w:tcW w:w="4225" w:type="dxa"/>
          </w:tcPr>
          <w:p w14:paraId="669291A8" w14:textId="77777777" w:rsidR="00B367F8" w:rsidRDefault="00A62E79">
            <w:pPr>
              <w:rPr>
                <w:sz w:val="24"/>
                <w:szCs w:val="24"/>
              </w:rPr>
            </w:pPr>
            <w:r>
              <w:rPr>
                <w:sz w:val="24"/>
                <w:szCs w:val="24"/>
              </w:rPr>
              <w:t xml:space="preserve">The board can only do their best to follow the 3 objectives outlined in the </w:t>
            </w:r>
            <w:r>
              <w:rPr>
                <w:sz w:val="24"/>
                <w:szCs w:val="24"/>
              </w:rPr>
              <w:t>presentation.  The judge's ruling required action.</w:t>
            </w:r>
          </w:p>
        </w:tc>
      </w:tr>
      <w:tr w:rsidR="00B367F8" w14:paraId="7A6647EF" w14:textId="77777777">
        <w:tc>
          <w:tcPr>
            <w:tcW w:w="1885" w:type="dxa"/>
          </w:tcPr>
          <w:p w14:paraId="0E952F0D" w14:textId="77777777" w:rsidR="00B367F8" w:rsidRDefault="00A62E79">
            <w:pPr>
              <w:rPr>
                <w:sz w:val="24"/>
                <w:szCs w:val="24"/>
              </w:rPr>
            </w:pPr>
            <w:r>
              <w:rPr>
                <w:sz w:val="24"/>
                <w:szCs w:val="24"/>
              </w:rPr>
              <w:t>Shawn</w:t>
            </w:r>
          </w:p>
        </w:tc>
        <w:tc>
          <w:tcPr>
            <w:tcW w:w="3240" w:type="dxa"/>
          </w:tcPr>
          <w:p w14:paraId="0C3AC378" w14:textId="77777777" w:rsidR="00B367F8" w:rsidRDefault="00A62E79">
            <w:pPr>
              <w:rPr>
                <w:sz w:val="24"/>
                <w:szCs w:val="24"/>
              </w:rPr>
            </w:pPr>
            <w:r>
              <w:rPr>
                <w:sz w:val="24"/>
                <w:szCs w:val="24"/>
              </w:rPr>
              <w:t>How much are the litigation costs paid by LLBC?</w:t>
            </w:r>
          </w:p>
        </w:tc>
        <w:tc>
          <w:tcPr>
            <w:tcW w:w="4225" w:type="dxa"/>
          </w:tcPr>
          <w:p w14:paraId="4569797B" w14:textId="77777777" w:rsidR="00B367F8" w:rsidRDefault="00A62E79">
            <w:pPr>
              <w:rPr>
                <w:sz w:val="24"/>
                <w:szCs w:val="24"/>
              </w:rPr>
            </w:pPr>
            <w:r>
              <w:rPr>
                <w:sz w:val="24"/>
                <w:szCs w:val="24"/>
              </w:rPr>
              <w:t>$5,031.29 as of 3/9/23 and this includes the advisement on this Policy.</w:t>
            </w:r>
          </w:p>
        </w:tc>
      </w:tr>
      <w:tr w:rsidR="00B367F8" w14:paraId="3BE8CD47" w14:textId="77777777">
        <w:tc>
          <w:tcPr>
            <w:tcW w:w="1885" w:type="dxa"/>
          </w:tcPr>
          <w:p w14:paraId="40E29D60" w14:textId="77777777" w:rsidR="00B367F8" w:rsidRDefault="00A62E79">
            <w:pPr>
              <w:rPr>
                <w:sz w:val="24"/>
                <w:szCs w:val="24"/>
              </w:rPr>
            </w:pPr>
            <w:r>
              <w:rPr>
                <w:sz w:val="24"/>
                <w:szCs w:val="24"/>
              </w:rPr>
              <w:t>Jim</w:t>
            </w:r>
          </w:p>
        </w:tc>
        <w:tc>
          <w:tcPr>
            <w:tcW w:w="3240" w:type="dxa"/>
          </w:tcPr>
          <w:p w14:paraId="50BC47F6" w14:textId="77777777" w:rsidR="00B367F8" w:rsidRDefault="00A62E79">
            <w:pPr>
              <w:rPr>
                <w:sz w:val="24"/>
                <w:szCs w:val="24"/>
              </w:rPr>
            </w:pPr>
            <w:r>
              <w:rPr>
                <w:sz w:val="24"/>
                <w:szCs w:val="24"/>
              </w:rPr>
              <w:t>I own multiple lots.  I have campers on two lots.  Can we apply for two permits if we intend to build two homes?</w:t>
            </w:r>
          </w:p>
        </w:tc>
        <w:tc>
          <w:tcPr>
            <w:tcW w:w="4225" w:type="dxa"/>
          </w:tcPr>
          <w:p w14:paraId="62218B45" w14:textId="77777777" w:rsidR="00B367F8" w:rsidRDefault="00A62E79">
            <w:pPr>
              <w:rPr>
                <w:sz w:val="24"/>
                <w:szCs w:val="24"/>
              </w:rPr>
            </w:pPr>
            <w:r>
              <w:rPr>
                <w:sz w:val="24"/>
                <w:szCs w:val="24"/>
              </w:rPr>
              <w:t xml:space="preserve">Permits are being issued to property owners as of 1/1/23. Only one </w:t>
            </w:r>
            <w:proofErr w:type="gramStart"/>
            <w:r>
              <w:rPr>
                <w:sz w:val="24"/>
                <w:szCs w:val="24"/>
              </w:rPr>
              <w:t>15 year</w:t>
            </w:r>
            <w:proofErr w:type="gramEnd"/>
            <w:r>
              <w:rPr>
                <w:sz w:val="24"/>
                <w:szCs w:val="24"/>
              </w:rPr>
              <w:t xml:space="preserve"> permit will be issued to each property.  </w:t>
            </w:r>
          </w:p>
        </w:tc>
      </w:tr>
      <w:tr w:rsidR="00B367F8" w14:paraId="7F5EEB9E" w14:textId="77777777">
        <w:tc>
          <w:tcPr>
            <w:tcW w:w="1885" w:type="dxa"/>
          </w:tcPr>
          <w:p w14:paraId="6D17F641" w14:textId="77777777" w:rsidR="00B367F8" w:rsidRDefault="00A62E79">
            <w:pPr>
              <w:rPr>
                <w:sz w:val="24"/>
                <w:szCs w:val="24"/>
              </w:rPr>
            </w:pPr>
            <w:r>
              <w:rPr>
                <w:sz w:val="24"/>
                <w:szCs w:val="24"/>
              </w:rPr>
              <w:t>Sherri</w:t>
            </w:r>
          </w:p>
        </w:tc>
        <w:tc>
          <w:tcPr>
            <w:tcW w:w="3240" w:type="dxa"/>
          </w:tcPr>
          <w:p w14:paraId="4B4F172B" w14:textId="77777777" w:rsidR="00B367F8" w:rsidRDefault="00A62E79">
            <w:pPr>
              <w:rPr>
                <w:sz w:val="24"/>
                <w:szCs w:val="24"/>
              </w:rPr>
            </w:pPr>
            <w:r>
              <w:rPr>
                <w:sz w:val="24"/>
                <w:szCs w:val="24"/>
              </w:rPr>
              <w:t>Why is the final d</w:t>
            </w:r>
            <w:r>
              <w:rPr>
                <w:sz w:val="24"/>
                <w:szCs w:val="24"/>
              </w:rPr>
              <w:t>raft the same as the initial draft?</w:t>
            </w:r>
          </w:p>
        </w:tc>
        <w:tc>
          <w:tcPr>
            <w:tcW w:w="4225" w:type="dxa"/>
          </w:tcPr>
          <w:p w14:paraId="3438BAB1" w14:textId="77777777" w:rsidR="00B367F8" w:rsidRDefault="00A62E79">
            <w:pPr>
              <w:rPr>
                <w:sz w:val="24"/>
                <w:szCs w:val="24"/>
              </w:rPr>
            </w:pPr>
            <w:r>
              <w:rPr>
                <w:sz w:val="24"/>
                <w:szCs w:val="24"/>
              </w:rPr>
              <w:t>It isn’t.</w:t>
            </w:r>
          </w:p>
        </w:tc>
      </w:tr>
      <w:tr w:rsidR="00B367F8" w14:paraId="346492C0" w14:textId="77777777">
        <w:tc>
          <w:tcPr>
            <w:tcW w:w="1885" w:type="dxa"/>
          </w:tcPr>
          <w:p w14:paraId="77820C00" w14:textId="77777777" w:rsidR="00B367F8" w:rsidRDefault="00A62E79">
            <w:pPr>
              <w:rPr>
                <w:sz w:val="24"/>
                <w:szCs w:val="24"/>
              </w:rPr>
            </w:pPr>
            <w:r>
              <w:rPr>
                <w:sz w:val="24"/>
                <w:szCs w:val="24"/>
              </w:rPr>
              <w:t>John</w:t>
            </w:r>
          </w:p>
        </w:tc>
        <w:tc>
          <w:tcPr>
            <w:tcW w:w="3240" w:type="dxa"/>
          </w:tcPr>
          <w:p w14:paraId="531342BA" w14:textId="77777777" w:rsidR="00B367F8" w:rsidRDefault="00A62E79">
            <w:pPr>
              <w:rPr>
                <w:sz w:val="24"/>
                <w:szCs w:val="24"/>
              </w:rPr>
            </w:pPr>
            <w:r>
              <w:rPr>
                <w:sz w:val="24"/>
                <w:szCs w:val="24"/>
              </w:rPr>
              <w:t>If the building timeframe is 18-24 months, why didn’t you update Policy 17 to that instead of leaving it at 6 months?</w:t>
            </w:r>
          </w:p>
        </w:tc>
        <w:tc>
          <w:tcPr>
            <w:tcW w:w="4225" w:type="dxa"/>
          </w:tcPr>
          <w:p w14:paraId="24F3B49C" w14:textId="77777777" w:rsidR="00B367F8" w:rsidRDefault="00A62E79">
            <w:pPr>
              <w:rPr>
                <w:sz w:val="24"/>
                <w:szCs w:val="24"/>
              </w:rPr>
            </w:pPr>
            <w:r>
              <w:rPr>
                <w:sz w:val="24"/>
                <w:szCs w:val="24"/>
              </w:rPr>
              <w:t xml:space="preserve">The </w:t>
            </w:r>
            <w:proofErr w:type="gramStart"/>
            <w:r>
              <w:rPr>
                <w:sz w:val="24"/>
                <w:szCs w:val="24"/>
              </w:rPr>
              <w:t>6 month</w:t>
            </w:r>
            <w:proofErr w:type="gramEnd"/>
            <w:r>
              <w:rPr>
                <w:sz w:val="24"/>
                <w:szCs w:val="24"/>
              </w:rPr>
              <w:t xml:space="preserve"> timeline is the time that is given to complete the </w:t>
            </w:r>
            <w:r>
              <w:rPr>
                <w:b/>
                <w:sz w:val="24"/>
                <w:szCs w:val="24"/>
                <w:u w:val="single"/>
              </w:rPr>
              <w:t>exterior</w:t>
            </w:r>
            <w:r>
              <w:rPr>
                <w:sz w:val="24"/>
                <w:szCs w:val="24"/>
              </w:rPr>
              <w:t xml:space="preserve"> of the buildin</w:t>
            </w:r>
            <w:r>
              <w:rPr>
                <w:sz w:val="24"/>
                <w:szCs w:val="24"/>
              </w:rPr>
              <w:t>g. This is also required by Barron County.</w:t>
            </w:r>
          </w:p>
        </w:tc>
      </w:tr>
      <w:tr w:rsidR="00B367F8" w14:paraId="28D85EE9" w14:textId="77777777">
        <w:tc>
          <w:tcPr>
            <w:tcW w:w="1885" w:type="dxa"/>
          </w:tcPr>
          <w:p w14:paraId="115E8D92" w14:textId="77777777" w:rsidR="00B367F8" w:rsidRDefault="00A62E79">
            <w:pPr>
              <w:rPr>
                <w:sz w:val="24"/>
                <w:szCs w:val="24"/>
              </w:rPr>
            </w:pPr>
            <w:r>
              <w:rPr>
                <w:sz w:val="24"/>
                <w:szCs w:val="24"/>
              </w:rPr>
              <w:t>Sherri</w:t>
            </w:r>
          </w:p>
        </w:tc>
        <w:tc>
          <w:tcPr>
            <w:tcW w:w="3240" w:type="dxa"/>
          </w:tcPr>
          <w:p w14:paraId="7369C7E4" w14:textId="77777777" w:rsidR="00B367F8" w:rsidRDefault="00A62E79">
            <w:pPr>
              <w:rPr>
                <w:sz w:val="24"/>
                <w:szCs w:val="24"/>
              </w:rPr>
            </w:pPr>
            <w:r>
              <w:rPr>
                <w:sz w:val="24"/>
                <w:szCs w:val="24"/>
              </w:rPr>
              <w:t>Did you try….</w:t>
            </w:r>
          </w:p>
          <w:p w14:paraId="3C267C53" w14:textId="77777777" w:rsidR="00B367F8" w:rsidRDefault="00A62E79">
            <w:pPr>
              <w:rPr>
                <w:sz w:val="24"/>
                <w:szCs w:val="24"/>
              </w:rPr>
            </w:pPr>
            <w:r>
              <w:rPr>
                <w:sz w:val="24"/>
                <w:szCs w:val="24"/>
              </w:rPr>
              <w:t>Couldn’t we just….</w:t>
            </w:r>
          </w:p>
          <w:p w14:paraId="2B7C57CB" w14:textId="77777777" w:rsidR="00B367F8" w:rsidRDefault="00A62E79">
            <w:pPr>
              <w:rPr>
                <w:sz w:val="24"/>
                <w:szCs w:val="24"/>
              </w:rPr>
            </w:pPr>
            <w:r>
              <w:rPr>
                <w:sz w:val="24"/>
                <w:szCs w:val="24"/>
              </w:rPr>
              <w:t xml:space="preserve">Maybe a </w:t>
            </w:r>
            <w:proofErr w:type="gramStart"/>
            <w:r>
              <w:rPr>
                <w:sz w:val="24"/>
                <w:szCs w:val="24"/>
              </w:rPr>
              <w:t>two tier</w:t>
            </w:r>
            <w:proofErr w:type="gramEnd"/>
            <w:r>
              <w:rPr>
                <w:sz w:val="24"/>
                <w:szCs w:val="24"/>
              </w:rPr>
              <w:t xml:space="preserve"> membership?</w:t>
            </w:r>
          </w:p>
          <w:p w14:paraId="5C40BFD7" w14:textId="77777777" w:rsidR="00B367F8" w:rsidRDefault="00B367F8">
            <w:pPr>
              <w:rPr>
                <w:sz w:val="24"/>
                <w:szCs w:val="24"/>
              </w:rPr>
            </w:pPr>
          </w:p>
          <w:p w14:paraId="3B0C84AE" w14:textId="77777777" w:rsidR="00B367F8" w:rsidRDefault="00A62E79">
            <w:pPr>
              <w:rPr>
                <w:sz w:val="24"/>
                <w:szCs w:val="24"/>
              </w:rPr>
            </w:pPr>
            <w:r>
              <w:rPr>
                <w:sz w:val="24"/>
                <w:szCs w:val="24"/>
              </w:rPr>
              <w:t>A variety of creative ideas</w:t>
            </w:r>
          </w:p>
          <w:p w14:paraId="6A4ADE6D" w14:textId="77777777" w:rsidR="00B367F8" w:rsidRDefault="00B367F8">
            <w:pPr>
              <w:rPr>
                <w:sz w:val="24"/>
                <w:szCs w:val="24"/>
              </w:rPr>
            </w:pPr>
          </w:p>
        </w:tc>
        <w:tc>
          <w:tcPr>
            <w:tcW w:w="4225" w:type="dxa"/>
          </w:tcPr>
          <w:p w14:paraId="5543E5EC" w14:textId="77777777" w:rsidR="00B367F8" w:rsidRDefault="00A62E79">
            <w:pPr>
              <w:rPr>
                <w:sz w:val="24"/>
                <w:szCs w:val="24"/>
              </w:rPr>
            </w:pPr>
            <w:r>
              <w:rPr>
                <w:sz w:val="24"/>
                <w:szCs w:val="24"/>
              </w:rPr>
              <w:t xml:space="preserve">The board has kicked around several ideas since the </w:t>
            </w:r>
            <w:proofErr w:type="gramStart"/>
            <w:r>
              <w:rPr>
                <w:sz w:val="24"/>
                <w:szCs w:val="24"/>
              </w:rPr>
              <w:t>lawsuit  was</w:t>
            </w:r>
            <w:proofErr w:type="gramEnd"/>
            <w:r>
              <w:rPr>
                <w:sz w:val="24"/>
                <w:szCs w:val="24"/>
              </w:rPr>
              <w:t xml:space="preserve"> filed. Given the division within the club as it </w:t>
            </w:r>
            <w:r>
              <w:rPr>
                <w:sz w:val="24"/>
                <w:szCs w:val="24"/>
              </w:rPr>
              <w:t xml:space="preserve">is, we do not feel creating two tiers of membership will be beneficial. The current board is not interested in building the infrastructure needed for a campground or the expansion into that business. </w:t>
            </w:r>
          </w:p>
        </w:tc>
      </w:tr>
      <w:tr w:rsidR="00B367F8" w14:paraId="05E3108E" w14:textId="77777777">
        <w:tc>
          <w:tcPr>
            <w:tcW w:w="1885" w:type="dxa"/>
          </w:tcPr>
          <w:p w14:paraId="0FBDD1C3" w14:textId="77777777" w:rsidR="00B367F8" w:rsidRDefault="00A62E79">
            <w:pPr>
              <w:rPr>
                <w:sz w:val="24"/>
                <w:szCs w:val="24"/>
              </w:rPr>
            </w:pPr>
            <w:r>
              <w:rPr>
                <w:sz w:val="24"/>
                <w:szCs w:val="24"/>
              </w:rPr>
              <w:t>Dave</w:t>
            </w:r>
          </w:p>
        </w:tc>
        <w:tc>
          <w:tcPr>
            <w:tcW w:w="3240" w:type="dxa"/>
          </w:tcPr>
          <w:p w14:paraId="1F83A1E1" w14:textId="0F644EBC" w:rsidR="00AF624D" w:rsidRDefault="00A62E79">
            <w:pPr>
              <w:rPr>
                <w:color w:val="222222"/>
                <w:sz w:val="24"/>
                <w:szCs w:val="24"/>
                <w:highlight w:val="white"/>
              </w:rPr>
            </w:pPr>
            <w:r>
              <w:rPr>
                <w:color w:val="222222"/>
                <w:sz w:val="24"/>
                <w:szCs w:val="24"/>
                <w:highlight w:val="white"/>
              </w:rPr>
              <w:t xml:space="preserve">For lots that are not a LLBC lot, do they have to follow the C&amp;Rs?  ***due to </w:t>
            </w:r>
            <w:r w:rsidR="00AF624D">
              <w:rPr>
                <w:color w:val="222222"/>
                <w:sz w:val="24"/>
                <w:szCs w:val="24"/>
                <w:highlight w:val="white"/>
              </w:rPr>
              <w:t>forfeiture</w:t>
            </w:r>
          </w:p>
          <w:p w14:paraId="0024D367" w14:textId="3A8BC7FA" w:rsidR="00B367F8" w:rsidRDefault="00A62E79">
            <w:pPr>
              <w:rPr>
                <w:color w:val="222222"/>
                <w:sz w:val="24"/>
                <w:szCs w:val="24"/>
                <w:highlight w:val="white"/>
              </w:rPr>
            </w:pPr>
            <w:r>
              <w:rPr>
                <w:color w:val="222222"/>
                <w:sz w:val="24"/>
                <w:szCs w:val="24"/>
                <w:highlight w:val="white"/>
              </w:rPr>
              <w:t>etc.</w:t>
            </w:r>
          </w:p>
          <w:p w14:paraId="1FCEB451" w14:textId="77777777" w:rsidR="00B367F8" w:rsidRDefault="00B367F8">
            <w:pPr>
              <w:rPr>
                <w:sz w:val="24"/>
                <w:szCs w:val="24"/>
              </w:rPr>
            </w:pPr>
          </w:p>
        </w:tc>
        <w:tc>
          <w:tcPr>
            <w:tcW w:w="4225" w:type="dxa"/>
          </w:tcPr>
          <w:p w14:paraId="57E84D1C" w14:textId="77777777" w:rsidR="00B367F8" w:rsidRDefault="00A62E79">
            <w:pPr>
              <w:jc w:val="center"/>
              <w:rPr>
                <w:sz w:val="24"/>
                <w:szCs w:val="24"/>
              </w:rPr>
            </w:pPr>
            <w:r>
              <w:rPr>
                <w:sz w:val="24"/>
                <w:szCs w:val="24"/>
              </w:rPr>
              <w:t xml:space="preserve">The C&amp;R stays with the property deed so </w:t>
            </w:r>
            <w:proofErr w:type="gramStart"/>
            <w:r>
              <w:rPr>
                <w:sz w:val="24"/>
                <w:szCs w:val="24"/>
              </w:rPr>
              <w:t>regardless</w:t>
            </w:r>
            <w:proofErr w:type="gramEnd"/>
            <w:r>
              <w:rPr>
                <w:sz w:val="24"/>
                <w:szCs w:val="24"/>
              </w:rPr>
              <w:t xml:space="preserve"> if a lot is an LLBC lot or not, the property still needs to abide by the C&amp;R. But the board does not have any </w:t>
            </w:r>
            <w:r>
              <w:rPr>
                <w:sz w:val="24"/>
                <w:szCs w:val="24"/>
              </w:rPr>
              <w:t xml:space="preserve">oversight on non-member lots so any </w:t>
            </w:r>
            <w:r>
              <w:rPr>
                <w:sz w:val="24"/>
                <w:szCs w:val="24"/>
              </w:rPr>
              <w:lastRenderedPageBreak/>
              <w:t xml:space="preserve">enforcement would have to be done by other property owners. </w:t>
            </w:r>
          </w:p>
        </w:tc>
      </w:tr>
      <w:tr w:rsidR="00B367F8" w14:paraId="2C5409D8" w14:textId="77777777">
        <w:tc>
          <w:tcPr>
            <w:tcW w:w="1885" w:type="dxa"/>
          </w:tcPr>
          <w:p w14:paraId="72FEC1D8" w14:textId="77777777" w:rsidR="00B367F8" w:rsidRDefault="00A62E79">
            <w:pPr>
              <w:rPr>
                <w:sz w:val="24"/>
                <w:szCs w:val="24"/>
              </w:rPr>
            </w:pPr>
            <w:r>
              <w:rPr>
                <w:sz w:val="24"/>
                <w:szCs w:val="24"/>
              </w:rPr>
              <w:lastRenderedPageBreak/>
              <w:t>Shawn</w:t>
            </w:r>
          </w:p>
        </w:tc>
        <w:tc>
          <w:tcPr>
            <w:tcW w:w="3240" w:type="dxa"/>
          </w:tcPr>
          <w:p w14:paraId="325F6665" w14:textId="77777777" w:rsidR="00B367F8" w:rsidRDefault="00A62E79">
            <w:pPr>
              <w:rPr>
                <w:color w:val="222222"/>
                <w:sz w:val="24"/>
                <w:szCs w:val="24"/>
                <w:highlight w:val="white"/>
              </w:rPr>
            </w:pPr>
            <w:r>
              <w:rPr>
                <w:color w:val="222222"/>
                <w:sz w:val="24"/>
                <w:szCs w:val="24"/>
                <w:highlight w:val="white"/>
              </w:rPr>
              <w:t>Who drafted Policy 25 and why wasn’t the ACC not involved?</w:t>
            </w:r>
          </w:p>
        </w:tc>
        <w:tc>
          <w:tcPr>
            <w:tcW w:w="4225" w:type="dxa"/>
          </w:tcPr>
          <w:p w14:paraId="10E7EBF6" w14:textId="77777777" w:rsidR="00B367F8" w:rsidRDefault="00A62E79">
            <w:pPr>
              <w:jc w:val="center"/>
              <w:rPr>
                <w:sz w:val="24"/>
                <w:szCs w:val="24"/>
              </w:rPr>
            </w:pPr>
            <w:r>
              <w:rPr>
                <w:sz w:val="24"/>
                <w:szCs w:val="24"/>
              </w:rPr>
              <w:t>The full BOD.  Article V Section 1 sub (d) of the bylaws states: “The Board of Directors may,</w:t>
            </w:r>
            <w:r>
              <w:rPr>
                <w:sz w:val="24"/>
                <w:szCs w:val="24"/>
              </w:rPr>
              <w:t xml:space="preserve"> at any time, act as the Architectural Planning and Zoning Committee in lieu of appointing a Standing Committee.”</w:t>
            </w:r>
          </w:p>
        </w:tc>
      </w:tr>
      <w:tr w:rsidR="00B367F8" w14:paraId="395EF315" w14:textId="77777777">
        <w:tc>
          <w:tcPr>
            <w:tcW w:w="1885" w:type="dxa"/>
          </w:tcPr>
          <w:p w14:paraId="2F0A7644" w14:textId="77777777" w:rsidR="00B367F8" w:rsidRDefault="00A62E79">
            <w:pPr>
              <w:rPr>
                <w:sz w:val="24"/>
                <w:szCs w:val="24"/>
              </w:rPr>
            </w:pPr>
            <w:r>
              <w:rPr>
                <w:sz w:val="24"/>
                <w:szCs w:val="24"/>
              </w:rPr>
              <w:t>Shawn</w:t>
            </w:r>
          </w:p>
        </w:tc>
        <w:tc>
          <w:tcPr>
            <w:tcW w:w="3240" w:type="dxa"/>
          </w:tcPr>
          <w:p w14:paraId="3F67DD87" w14:textId="77777777" w:rsidR="00B367F8" w:rsidRDefault="00A62E79">
            <w:pPr>
              <w:rPr>
                <w:color w:val="222222"/>
                <w:sz w:val="24"/>
                <w:szCs w:val="24"/>
                <w:highlight w:val="white"/>
              </w:rPr>
            </w:pPr>
            <w:r>
              <w:rPr>
                <w:color w:val="222222"/>
                <w:sz w:val="24"/>
                <w:szCs w:val="24"/>
                <w:highlight w:val="white"/>
              </w:rPr>
              <w:t>Why did the BOD not work with the Plaintiffs and their lawyers on a new policy?</w:t>
            </w:r>
          </w:p>
        </w:tc>
        <w:tc>
          <w:tcPr>
            <w:tcW w:w="4225" w:type="dxa"/>
          </w:tcPr>
          <w:p w14:paraId="0EAA612F" w14:textId="77777777" w:rsidR="00B367F8" w:rsidRDefault="00A62E79">
            <w:pPr>
              <w:jc w:val="center"/>
              <w:rPr>
                <w:sz w:val="24"/>
                <w:szCs w:val="24"/>
              </w:rPr>
            </w:pPr>
            <w:r>
              <w:rPr>
                <w:sz w:val="24"/>
                <w:szCs w:val="24"/>
              </w:rPr>
              <w:t>Like all members, we solicited and considered their com</w:t>
            </w:r>
            <w:r>
              <w:rPr>
                <w:sz w:val="24"/>
                <w:szCs w:val="24"/>
              </w:rPr>
              <w:t xml:space="preserve">ments and did have our lawyers talk with their lawyers.  </w:t>
            </w:r>
          </w:p>
        </w:tc>
      </w:tr>
      <w:tr w:rsidR="00B367F8" w14:paraId="3136571E" w14:textId="77777777">
        <w:tc>
          <w:tcPr>
            <w:tcW w:w="1885" w:type="dxa"/>
          </w:tcPr>
          <w:p w14:paraId="0AA05083" w14:textId="77777777" w:rsidR="00B367F8" w:rsidRDefault="00A62E79">
            <w:pPr>
              <w:rPr>
                <w:sz w:val="24"/>
                <w:szCs w:val="24"/>
              </w:rPr>
            </w:pPr>
            <w:r>
              <w:rPr>
                <w:sz w:val="24"/>
                <w:szCs w:val="24"/>
              </w:rPr>
              <w:t>Shawn</w:t>
            </w:r>
          </w:p>
        </w:tc>
        <w:tc>
          <w:tcPr>
            <w:tcW w:w="3240" w:type="dxa"/>
          </w:tcPr>
          <w:p w14:paraId="433D69F0" w14:textId="77777777" w:rsidR="00B367F8" w:rsidRDefault="00A62E79">
            <w:pPr>
              <w:rPr>
                <w:color w:val="222222"/>
                <w:sz w:val="24"/>
                <w:szCs w:val="24"/>
                <w:highlight w:val="white"/>
              </w:rPr>
            </w:pPr>
            <w:r>
              <w:rPr>
                <w:color w:val="222222"/>
                <w:sz w:val="24"/>
                <w:szCs w:val="24"/>
                <w:highlight w:val="white"/>
              </w:rPr>
              <w:t>Why does the Board of Directors insist that the judge’s ruling does not allow for a “leaves on - leaves off” policy? </w:t>
            </w:r>
          </w:p>
        </w:tc>
        <w:tc>
          <w:tcPr>
            <w:tcW w:w="4225" w:type="dxa"/>
          </w:tcPr>
          <w:p w14:paraId="2615E671" w14:textId="77777777" w:rsidR="00B367F8" w:rsidRDefault="00A62E79">
            <w:pPr>
              <w:jc w:val="center"/>
              <w:rPr>
                <w:sz w:val="24"/>
                <w:szCs w:val="24"/>
              </w:rPr>
            </w:pPr>
            <w:r>
              <w:rPr>
                <w:sz w:val="24"/>
                <w:szCs w:val="24"/>
              </w:rPr>
              <w:t>The judge ruled that the purpose of the covenants is designed to “secure the erection of attractive homes” and only mentioned “leaves on/o</w:t>
            </w:r>
            <w:r>
              <w:rPr>
                <w:sz w:val="24"/>
                <w:szCs w:val="24"/>
              </w:rPr>
              <w:t xml:space="preserve">ff” as a past practice. The Judge took issue with the annual permits being issued which is why the board has proposed a single </w:t>
            </w:r>
            <w:proofErr w:type="spellStart"/>
            <w:proofErr w:type="gramStart"/>
            <w:r>
              <w:rPr>
                <w:sz w:val="24"/>
                <w:szCs w:val="24"/>
              </w:rPr>
              <w:t>non renewable</w:t>
            </w:r>
            <w:proofErr w:type="spellEnd"/>
            <w:proofErr w:type="gramEnd"/>
            <w:r>
              <w:rPr>
                <w:sz w:val="24"/>
                <w:szCs w:val="24"/>
              </w:rPr>
              <w:t xml:space="preserve"> </w:t>
            </w:r>
            <w:proofErr w:type="spellStart"/>
            <w:r>
              <w:rPr>
                <w:sz w:val="24"/>
                <w:szCs w:val="24"/>
              </w:rPr>
              <w:t>non transferable</w:t>
            </w:r>
            <w:proofErr w:type="spellEnd"/>
            <w:r>
              <w:rPr>
                <w:sz w:val="24"/>
                <w:szCs w:val="24"/>
              </w:rPr>
              <w:t xml:space="preserve"> permit with a specific and limited time. </w:t>
            </w:r>
          </w:p>
        </w:tc>
      </w:tr>
      <w:tr w:rsidR="00B367F8" w14:paraId="6D0980F1" w14:textId="77777777">
        <w:tc>
          <w:tcPr>
            <w:tcW w:w="1885" w:type="dxa"/>
          </w:tcPr>
          <w:p w14:paraId="0CB8DA1E" w14:textId="77777777" w:rsidR="00B367F8" w:rsidRDefault="00A62E79">
            <w:pPr>
              <w:rPr>
                <w:sz w:val="24"/>
                <w:szCs w:val="24"/>
              </w:rPr>
            </w:pPr>
            <w:r>
              <w:rPr>
                <w:sz w:val="24"/>
                <w:szCs w:val="24"/>
              </w:rPr>
              <w:t>John</w:t>
            </w:r>
          </w:p>
        </w:tc>
        <w:tc>
          <w:tcPr>
            <w:tcW w:w="3240" w:type="dxa"/>
          </w:tcPr>
          <w:p w14:paraId="2A945790" w14:textId="77777777" w:rsidR="00B367F8" w:rsidRDefault="00A62E79">
            <w:pPr>
              <w:rPr>
                <w:color w:val="222222"/>
                <w:sz w:val="24"/>
                <w:szCs w:val="24"/>
                <w:highlight w:val="white"/>
              </w:rPr>
            </w:pPr>
            <w:r>
              <w:rPr>
                <w:color w:val="222222"/>
                <w:sz w:val="24"/>
                <w:szCs w:val="24"/>
                <w:highlight w:val="white"/>
              </w:rPr>
              <w:t>Can we add a spouse or children to an existing deed?</w:t>
            </w:r>
          </w:p>
        </w:tc>
        <w:tc>
          <w:tcPr>
            <w:tcW w:w="4225" w:type="dxa"/>
          </w:tcPr>
          <w:p w14:paraId="17EFFEAA" w14:textId="77777777" w:rsidR="00B367F8" w:rsidRDefault="00A62E79">
            <w:pPr>
              <w:jc w:val="center"/>
              <w:rPr>
                <w:sz w:val="24"/>
                <w:szCs w:val="24"/>
              </w:rPr>
            </w:pPr>
            <w:r>
              <w:rPr>
                <w:color w:val="222222"/>
                <w:sz w:val="24"/>
                <w:szCs w:val="24"/>
                <w:highlight w:val="white"/>
              </w:rPr>
              <w:t>Adding others to a deed under an original deed holder would not change anything regarding the 5 or 15 years.</w:t>
            </w:r>
          </w:p>
        </w:tc>
      </w:tr>
      <w:tr w:rsidR="00B367F8" w14:paraId="4328E519" w14:textId="77777777">
        <w:tc>
          <w:tcPr>
            <w:tcW w:w="1885" w:type="dxa"/>
          </w:tcPr>
          <w:p w14:paraId="20A49ECE" w14:textId="77777777" w:rsidR="00B367F8" w:rsidRDefault="00A62E79">
            <w:pPr>
              <w:rPr>
                <w:sz w:val="24"/>
                <w:szCs w:val="24"/>
              </w:rPr>
            </w:pPr>
            <w:r>
              <w:rPr>
                <w:sz w:val="24"/>
                <w:szCs w:val="24"/>
              </w:rPr>
              <w:t>John</w:t>
            </w:r>
          </w:p>
        </w:tc>
        <w:tc>
          <w:tcPr>
            <w:tcW w:w="3240" w:type="dxa"/>
          </w:tcPr>
          <w:p w14:paraId="666D050C" w14:textId="77777777" w:rsidR="00B367F8" w:rsidRDefault="00A62E79">
            <w:pPr>
              <w:rPr>
                <w:color w:val="222222"/>
                <w:sz w:val="24"/>
                <w:szCs w:val="24"/>
                <w:highlight w:val="white"/>
              </w:rPr>
            </w:pPr>
            <w:r>
              <w:rPr>
                <w:color w:val="222222"/>
                <w:sz w:val="24"/>
                <w:szCs w:val="24"/>
                <w:highlight w:val="white"/>
              </w:rPr>
              <w:t>Who is on the ACC?</w:t>
            </w:r>
          </w:p>
        </w:tc>
        <w:tc>
          <w:tcPr>
            <w:tcW w:w="4225" w:type="dxa"/>
          </w:tcPr>
          <w:p w14:paraId="7F6790BF" w14:textId="77777777" w:rsidR="00B367F8" w:rsidRDefault="00A62E79">
            <w:pPr>
              <w:rPr>
                <w:color w:val="222222"/>
                <w:sz w:val="24"/>
                <w:szCs w:val="24"/>
                <w:highlight w:val="white"/>
              </w:rPr>
            </w:pPr>
            <w:r>
              <w:rPr>
                <w:color w:val="222222"/>
                <w:sz w:val="24"/>
                <w:szCs w:val="24"/>
                <w:highlight w:val="white"/>
              </w:rPr>
              <w:t>The Architectural Control Committee members are Chairman John Bond, B</w:t>
            </w:r>
            <w:r>
              <w:rPr>
                <w:color w:val="222222"/>
                <w:sz w:val="24"/>
                <w:szCs w:val="24"/>
                <w:highlight w:val="white"/>
              </w:rPr>
              <w:t xml:space="preserve">arb Loring, Matt </w:t>
            </w:r>
            <w:proofErr w:type="spellStart"/>
            <w:r>
              <w:rPr>
                <w:color w:val="222222"/>
                <w:sz w:val="24"/>
                <w:szCs w:val="24"/>
                <w:highlight w:val="white"/>
              </w:rPr>
              <w:t>LaVick</w:t>
            </w:r>
            <w:proofErr w:type="spellEnd"/>
            <w:r>
              <w:rPr>
                <w:color w:val="222222"/>
                <w:sz w:val="24"/>
                <w:szCs w:val="24"/>
                <w:highlight w:val="white"/>
              </w:rPr>
              <w:t xml:space="preserve">, Angie Dubberke, and Bryan Cress. </w:t>
            </w:r>
          </w:p>
        </w:tc>
      </w:tr>
      <w:tr w:rsidR="00B367F8" w14:paraId="36DC3285" w14:textId="77777777">
        <w:tc>
          <w:tcPr>
            <w:tcW w:w="1885" w:type="dxa"/>
          </w:tcPr>
          <w:p w14:paraId="12E9D7B6" w14:textId="77777777" w:rsidR="00B367F8" w:rsidRDefault="00A62E79">
            <w:pPr>
              <w:rPr>
                <w:sz w:val="24"/>
                <w:szCs w:val="24"/>
              </w:rPr>
            </w:pPr>
            <w:r>
              <w:rPr>
                <w:sz w:val="24"/>
                <w:szCs w:val="24"/>
              </w:rPr>
              <w:t>Jim</w:t>
            </w:r>
          </w:p>
        </w:tc>
        <w:tc>
          <w:tcPr>
            <w:tcW w:w="3240" w:type="dxa"/>
          </w:tcPr>
          <w:p w14:paraId="30051C9D" w14:textId="77777777" w:rsidR="00B367F8" w:rsidRDefault="00A62E79">
            <w:pPr>
              <w:rPr>
                <w:color w:val="222222"/>
                <w:sz w:val="24"/>
                <w:szCs w:val="24"/>
                <w:highlight w:val="white"/>
              </w:rPr>
            </w:pPr>
            <w:r>
              <w:rPr>
                <w:color w:val="222222"/>
                <w:sz w:val="24"/>
                <w:szCs w:val="24"/>
                <w:highlight w:val="white"/>
              </w:rPr>
              <w:t>What if there is a conflict of interest with a member of the ACC who is not in compliance?</w:t>
            </w:r>
          </w:p>
        </w:tc>
        <w:tc>
          <w:tcPr>
            <w:tcW w:w="4225" w:type="dxa"/>
          </w:tcPr>
          <w:p w14:paraId="4F276F0D" w14:textId="77777777" w:rsidR="00B367F8" w:rsidRDefault="00A62E79">
            <w:pPr>
              <w:rPr>
                <w:color w:val="222222"/>
                <w:sz w:val="24"/>
                <w:szCs w:val="24"/>
                <w:highlight w:val="white"/>
              </w:rPr>
            </w:pPr>
            <w:r>
              <w:rPr>
                <w:color w:val="222222"/>
                <w:sz w:val="24"/>
                <w:szCs w:val="24"/>
                <w:highlight w:val="white"/>
              </w:rPr>
              <w:t>We have never had that issue.  It is made up a diverse group of LLBC members.</w:t>
            </w:r>
          </w:p>
        </w:tc>
      </w:tr>
      <w:tr w:rsidR="00B367F8" w14:paraId="31C05245" w14:textId="77777777">
        <w:tc>
          <w:tcPr>
            <w:tcW w:w="1885" w:type="dxa"/>
          </w:tcPr>
          <w:p w14:paraId="388AE844" w14:textId="77777777" w:rsidR="00B367F8" w:rsidRDefault="00A62E79">
            <w:pPr>
              <w:rPr>
                <w:sz w:val="24"/>
                <w:szCs w:val="24"/>
              </w:rPr>
            </w:pPr>
            <w:r>
              <w:rPr>
                <w:sz w:val="24"/>
                <w:szCs w:val="24"/>
              </w:rPr>
              <w:t>Jim/John</w:t>
            </w:r>
          </w:p>
        </w:tc>
        <w:tc>
          <w:tcPr>
            <w:tcW w:w="3240" w:type="dxa"/>
          </w:tcPr>
          <w:p w14:paraId="43FD4B46" w14:textId="77777777" w:rsidR="00B367F8" w:rsidRDefault="00A62E79">
            <w:pPr>
              <w:rPr>
                <w:color w:val="222222"/>
                <w:sz w:val="24"/>
                <w:szCs w:val="24"/>
                <w:highlight w:val="white"/>
              </w:rPr>
            </w:pPr>
            <w:r>
              <w:rPr>
                <w:color w:val="222222"/>
                <w:sz w:val="24"/>
                <w:szCs w:val="24"/>
                <w:highlight w:val="white"/>
              </w:rPr>
              <w:t xml:space="preserve">Fines, </w:t>
            </w:r>
            <w:proofErr w:type="gramStart"/>
            <w:r>
              <w:rPr>
                <w:color w:val="222222"/>
                <w:sz w:val="24"/>
                <w:szCs w:val="24"/>
                <w:highlight w:val="white"/>
              </w:rPr>
              <w:t>accoun</w:t>
            </w:r>
            <w:r>
              <w:rPr>
                <w:color w:val="222222"/>
                <w:sz w:val="24"/>
                <w:szCs w:val="24"/>
                <w:highlight w:val="white"/>
              </w:rPr>
              <w:t>tability</w:t>
            </w:r>
            <w:proofErr w:type="gramEnd"/>
            <w:r>
              <w:rPr>
                <w:color w:val="222222"/>
                <w:sz w:val="24"/>
                <w:szCs w:val="24"/>
                <w:highlight w:val="white"/>
              </w:rPr>
              <w:t xml:space="preserve"> and issues</w:t>
            </w:r>
          </w:p>
          <w:p w14:paraId="673D9CB6" w14:textId="77777777" w:rsidR="00B367F8" w:rsidRDefault="00A62E79">
            <w:pPr>
              <w:rPr>
                <w:color w:val="222222"/>
                <w:sz w:val="24"/>
                <w:szCs w:val="24"/>
                <w:highlight w:val="white"/>
              </w:rPr>
            </w:pPr>
            <w:r>
              <w:rPr>
                <w:color w:val="222222"/>
                <w:sz w:val="24"/>
                <w:szCs w:val="24"/>
                <w:highlight w:val="white"/>
              </w:rPr>
              <w:t>How many in the last two years?</w:t>
            </w:r>
          </w:p>
          <w:p w14:paraId="41B1DB9E" w14:textId="77777777" w:rsidR="00B367F8" w:rsidRDefault="00B367F8">
            <w:pPr>
              <w:rPr>
                <w:color w:val="222222"/>
                <w:sz w:val="24"/>
                <w:szCs w:val="24"/>
                <w:highlight w:val="white"/>
              </w:rPr>
            </w:pPr>
          </w:p>
          <w:p w14:paraId="5F430CA5" w14:textId="77777777" w:rsidR="00B367F8" w:rsidRDefault="00A62E79">
            <w:pPr>
              <w:rPr>
                <w:color w:val="222222"/>
                <w:sz w:val="24"/>
                <w:szCs w:val="24"/>
                <w:highlight w:val="white"/>
              </w:rPr>
            </w:pPr>
            <w:r>
              <w:rPr>
                <w:color w:val="222222"/>
                <w:sz w:val="24"/>
                <w:szCs w:val="24"/>
                <w:highlight w:val="white"/>
              </w:rPr>
              <w:t xml:space="preserve">What authority does the ACC have?  </w:t>
            </w:r>
          </w:p>
        </w:tc>
        <w:tc>
          <w:tcPr>
            <w:tcW w:w="4225" w:type="dxa"/>
          </w:tcPr>
          <w:p w14:paraId="2A490463" w14:textId="77777777" w:rsidR="00B367F8" w:rsidRDefault="00A62E79">
            <w:pPr>
              <w:shd w:val="clear" w:color="auto" w:fill="FFFFFF"/>
              <w:rPr>
                <w:color w:val="222222"/>
                <w:sz w:val="24"/>
                <w:szCs w:val="24"/>
              </w:rPr>
            </w:pPr>
            <w:r>
              <w:rPr>
                <w:color w:val="222222"/>
                <w:sz w:val="24"/>
                <w:szCs w:val="24"/>
              </w:rPr>
              <w:t xml:space="preserve">Holding people accountable is always a challenge at any level. In my experience of using the enforcement tools that we </w:t>
            </w:r>
            <w:proofErr w:type="gramStart"/>
            <w:r>
              <w:rPr>
                <w:color w:val="222222"/>
                <w:sz w:val="24"/>
                <w:szCs w:val="24"/>
              </w:rPr>
              <w:t>have,</w:t>
            </w:r>
            <w:proofErr w:type="gramEnd"/>
            <w:r>
              <w:rPr>
                <w:color w:val="222222"/>
                <w:sz w:val="24"/>
                <w:szCs w:val="24"/>
              </w:rPr>
              <w:t xml:space="preserve"> we eventually get people to comply.</w:t>
            </w:r>
          </w:p>
          <w:p w14:paraId="4E3A19C3" w14:textId="77777777" w:rsidR="00B367F8" w:rsidRDefault="00B367F8">
            <w:pPr>
              <w:rPr>
                <w:color w:val="222222"/>
                <w:sz w:val="24"/>
                <w:szCs w:val="24"/>
                <w:highlight w:val="white"/>
              </w:rPr>
            </w:pPr>
          </w:p>
          <w:p w14:paraId="25FB38D7" w14:textId="77777777" w:rsidR="00B367F8" w:rsidRDefault="00A62E79">
            <w:pPr>
              <w:shd w:val="clear" w:color="auto" w:fill="FFFFFF"/>
              <w:rPr>
                <w:color w:val="222222"/>
                <w:sz w:val="24"/>
                <w:szCs w:val="24"/>
              </w:rPr>
            </w:pPr>
            <w:r>
              <w:rPr>
                <w:color w:val="222222"/>
                <w:sz w:val="24"/>
                <w:szCs w:val="24"/>
              </w:rPr>
              <w:t>There is not a list of violations that is made public. In committee reports, the number of and types of violations have been published. I am not aware of any fines being issued, but we have sent out numerous notices of violations and have had very good res</w:t>
            </w:r>
            <w:r>
              <w:rPr>
                <w:color w:val="222222"/>
                <w:sz w:val="24"/>
                <w:szCs w:val="24"/>
              </w:rPr>
              <w:t xml:space="preserve">ults with compliance.  </w:t>
            </w:r>
            <w:r>
              <w:rPr>
                <w:color w:val="222222"/>
                <w:sz w:val="24"/>
                <w:szCs w:val="24"/>
              </w:rPr>
              <w:lastRenderedPageBreak/>
              <w:t>The C&amp;Rs gives LLBC the ability to enforce its rules even if they are more restrictive than Barron Co ordinances.</w:t>
            </w:r>
          </w:p>
        </w:tc>
      </w:tr>
      <w:tr w:rsidR="00B367F8" w14:paraId="61C152AA" w14:textId="77777777">
        <w:tc>
          <w:tcPr>
            <w:tcW w:w="1885" w:type="dxa"/>
          </w:tcPr>
          <w:p w14:paraId="3A20E374" w14:textId="77777777" w:rsidR="00B367F8" w:rsidRDefault="00A62E79">
            <w:pPr>
              <w:rPr>
                <w:sz w:val="24"/>
                <w:szCs w:val="24"/>
              </w:rPr>
            </w:pPr>
            <w:r>
              <w:rPr>
                <w:sz w:val="24"/>
                <w:szCs w:val="24"/>
              </w:rPr>
              <w:lastRenderedPageBreak/>
              <w:t>Shawn</w:t>
            </w:r>
          </w:p>
        </w:tc>
        <w:tc>
          <w:tcPr>
            <w:tcW w:w="3240" w:type="dxa"/>
          </w:tcPr>
          <w:p w14:paraId="1AC2B06F" w14:textId="77777777" w:rsidR="00B367F8" w:rsidRDefault="00A62E79">
            <w:pPr>
              <w:rPr>
                <w:color w:val="222222"/>
                <w:sz w:val="24"/>
                <w:szCs w:val="24"/>
                <w:highlight w:val="white"/>
              </w:rPr>
            </w:pPr>
            <w:r>
              <w:rPr>
                <w:color w:val="222222"/>
                <w:sz w:val="24"/>
                <w:szCs w:val="24"/>
                <w:highlight w:val="white"/>
              </w:rPr>
              <w:t>Does Article I clearly mandate that building a home is required?</w:t>
            </w:r>
          </w:p>
        </w:tc>
        <w:tc>
          <w:tcPr>
            <w:tcW w:w="4225" w:type="dxa"/>
          </w:tcPr>
          <w:p w14:paraId="39F75D41" w14:textId="77777777" w:rsidR="00B367F8" w:rsidRDefault="00A62E79">
            <w:pPr>
              <w:shd w:val="clear" w:color="auto" w:fill="FFFFFF"/>
              <w:rPr>
                <w:color w:val="222222"/>
                <w:sz w:val="24"/>
                <w:szCs w:val="24"/>
              </w:rPr>
            </w:pPr>
            <w:r>
              <w:rPr>
                <w:color w:val="222222"/>
                <w:sz w:val="24"/>
                <w:szCs w:val="24"/>
              </w:rPr>
              <w:t>The judge stated that the C&amp;Rs were clear and u</w:t>
            </w:r>
            <w:r>
              <w:rPr>
                <w:color w:val="222222"/>
                <w:sz w:val="24"/>
                <w:szCs w:val="24"/>
              </w:rPr>
              <w:t>nambiguous.</w:t>
            </w:r>
          </w:p>
        </w:tc>
      </w:tr>
    </w:tbl>
    <w:p w14:paraId="508D2B9C" w14:textId="77777777" w:rsidR="00B367F8" w:rsidRDefault="00A62E79">
      <w:pPr>
        <w:rPr>
          <w:sz w:val="24"/>
          <w:szCs w:val="24"/>
        </w:rPr>
      </w:pPr>
      <w:r>
        <w:rPr>
          <w:sz w:val="24"/>
          <w:szCs w:val="24"/>
        </w:rPr>
        <w:t>.</w:t>
      </w:r>
    </w:p>
    <w:sectPr w:rsidR="00B367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F8"/>
    <w:rsid w:val="00AF624D"/>
    <w:rsid w:val="00B3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188E"/>
  <w15:docId w15:val="{CCE4CBD7-5FE4-43D0-A46C-4698D619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5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kyd1SdciXf+T+bD6GJcDsLxxdg==">AMUW2mWx3ve3Nvs0jySmym2TY6k2fjQg0rzSxfwDHgU6DcyQmjI59Ms0Nu3B+FzMNjY99y7g7Tu/U4iVLB0BSd+IJBTvuEP5HQEynpHA1tkk+BhnNV0AxO8=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Stumpf</dc:creator>
  <cp:lastModifiedBy>Angie Dubberke</cp:lastModifiedBy>
  <cp:revision>2</cp:revision>
  <dcterms:created xsi:type="dcterms:W3CDTF">2023-03-11T17:21:00Z</dcterms:created>
  <dcterms:modified xsi:type="dcterms:W3CDTF">2023-03-11T17:21:00Z</dcterms:modified>
</cp:coreProperties>
</file>